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28124015">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508E0791" w:rsidR="00574947" w:rsidRPr="00253BD4" w:rsidRDefault="00E77E01" w:rsidP="00D06146">
      <w:pPr>
        <w:pStyle w:val="Subtitle"/>
        <w:rPr>
          <w:rFonts w:ascii="Calibri" w:eastAsia="Calibri" w:hAnsi="Calibri" w:cs="Calibri"/>
          <w:b/>
          <w:bCs/>
          <w:spacing w:val="-3"/>
          <w:w w:val="110"/>
          <w:sz w:val="56"/>
          <w:szCs w:val="56"/>
          <w:lang w:val="fr-CA"/>
        </w:rPr>
      </w:pPr>
      <w:r w:rsidRPr="00E77E01">
        <w:rPr>
          <w:rFonts w:ascii="Calibri" w:eastAsia="Calibri" w:hAnsi="Calibri" w:cs="Calibri"/>
          <w:b/>
          <w:bCs/>
          <w:spacing w:val="-3"/>
          <w:w w:val="110"/>
          <w:sz w:val="56"/>
          <w:szCs w:val="56"/>
          <w:lang w:val="fr-CA"/>
        </w:rPr>
        <w:t>Mise à jour des programmes de bourses de recherche au doctorat</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3E4E56BB" w14:textId="7AA67E2B" w:rsidR="00215C1A" w:rsidRPr="00253BD4" w:rsidRDefault="003454B2" w:rsidP="003454B2">
      <w:pPr>
        <w:rPr>
          <w:lang w:val="fr-CA"/>
        </w:rPr>
      </w:pPr>
      <w:r w:rsidRPr="003454B2">
        <w:rPr>
          <w:lang w:val="fr-CA"/>
        </w:rPr>
        <w:t>Bienvenue dans le module d’apprentissage pour pairs évaluateurs des programmes de bourses de recherche au doctorat des IRSC.</w:t>
      </w:r>
      <w:r>
        <w:rPr>
          <w:lang w:val="fr-CA"/>
        </w:rPr>
        <w:t xml:space="preserve"> </w:t>
      </w:r>
      <w:r w:rsidRPr="003454B2">
        <w:rPr>
          <w:lang w:val="fr-CA"/>
        </w:rPr>
        <w:t>Le module portera sur les mises à jour apportées à la prochaine édition des programmes.</w:t>
      </w:r>
    </w:p>
    <w:p w14:paraId="2504647B" w14:textId="7E267D03" w:rsidR="00527435" w:rsidRPr="00253BD4" w:rsidRDefault="0090004D" w:rsidP="002C6847">
      <w:pPr>
        <w:pStyle w:val="Heading1"/>
        <w:rPr>
          <w:lang w:val="fr-CA"/>
        </w:rPr>
      </w:pPr>
      <w:r w:rsidRPr="00253BD4">
        <w:rPr>
          <w:lang w:val="fr-CA"/>
        </w:rPr>
        <w:t>Boutons de la barre de lecture</w:t>
      </w:r>
    </w:p>
    <w:p w14:paraId="5BA9783E" w14:textId="6036EA17" w:rsidR="00D72FB1" w:rsidRPr="00D72FB1" w:rsidRDefault="00D72FB1" w:rsidP="00D72FB1">
      <w:pPr>
        <w:rPr>
          <w:bCs/>
          <w:lang w:val="fr-CA"/>
        </w:rPr>
      </w:pPr>
      <w:r w:rsidRPr="00D72FB1">
        <w:rPr>
          <w:bCs/>
          <w:lang w:val="fr-CA"/>
        </w:rPr>
        <w:t>Ce cours est conçu pour être suivi de manière autonome.</w:t>
      </w:r>
    </w:p>
    <w:p w14:paraId="044FE9FF" w14:textId="0F76C7C2" w:rsidR="006D7A8A" w:rsidRDefault="00D72FB1" w:rsidP="00D72FB1">
      <w:pPr>
        <w:rPr>
          <w:bCs/>
          <w:lang w:val="fr-CA"/>
        </w:rPr>
      </w:pPr>
      <w:r w:rsidRPr="00D72FB1">
        <w:rPr>
          <w:bCs/>
          <w:lang w:val="fr-CA"/>
        </w:rPr>
        <w:t>Utilisez la barre de lecture ci-dessous pour reprendre la lecture, passer d’une diapositive à l’autre, couper ou rétablir le son et activer les sous-titres codés. Vous pouvez également consulter la table des matières et réduire ou déplacer la barre de lecture.</w:t>
      </w:r>
    </w:p>
    <w:p w14:paraId="157A4AE0" w14:textId="1FF75AE9" w:rsidR="00446D1C" w:rsidRDefault="00F31C7D" w:rsidP="00860B4E">
      <w:pPr>
        <w:pStyle w:val="Heading1"/>
        <w:rPr>
          <w:lang w:val="fr-CA"/>
        </w:rPr>
      </w:pPr>
      <w:r w:rsidRPr="00F31C7D">
        <w:rPr>
          <w:lang w:val="fr-CA"/>
        </w:rPr>
        <w:t>Nouveautés des programmes de bourses de recherche au doctorat</w:t>
      </w:r>
    </w:p>
    <w:p w14:paraId="60F8F56A" w14:textId="129787EA" w:rsidR="00EB758D" w:rsidRPr="00EB758D" w:rsidRDefault="00EB758D" w:rsidP="00EB758D">
      <w:pPr>
        <w:rPr>
          <w:bCs/>
          <w:lang w:val="fr-CA"/>
        </w:rPr>
      </w:pPr>
      <w:r w:rsidRPr="00EB758D">
        <w:rPr>
          <w:bCs/>
          <w:lang w:val="fr-CA"/>
        </w:rPr>
        <w:t>Trois nouveautés importantes attendent les évaluateurs lors des programmes de bourses de recherche au doctorat de 2024.</w:t>
      </w:r>
    </w:p>
    <w:p w14:paraId="49EBD181" w14:textId="77777777" w:rsidR="00EB758D" w:rsidRPr="00EB758D" w:rsidRDefault="00EB758D" w:rsidP="00EB758D">
      <w:pPr>
        <w:numPr>
          <w:ilvl w:val="0"/>
          <w:numId w:val="28"/>
        </w:numPr>
        <w:rPr>
          <w:bCs/>
          <w:lang w:val="fr-CA"/>
        </w:rPr>
      </w:pPr>
      <w:r w:rsidRPr="00EB758D">
        <w:rPr>
          <w:bCs/>
          <w:lang w:val="fr-CA"/>
        </w:rPr>
        <w:t xml:space="preserve">Authentification multifactorielle dans </w:t>
      </w:r>
      <w:proofErr w:type="spellStart"/>
      <w:r w:rsidRPr="00EB758D">
        <w:rPr>
          <w:bCs/>
          <w:lang w:val="fr-CA"/>
        </w:rPr>
        <w:t>RechercheNet</w:t>
      </w:r>
      <w:proofErr w:type="spellEnd"/>
    </w:p>
    <w:p w14:paraId="76D10E36" w14:textId="77777777" w:rsidR="00EB758D" w:rsidRPr="00EB758D" w:rsidRDefault="00EB758D" w:rsidP="00EB758D">
      <w:pPr>
        <w:numPr>
          <w:ilvl w:val="0"/>
          <w:numId w:val="28"/>
        </w:numPr>
        <w:rPr>
          <w:bCs/>
          <w:lang w:val="fr-CA"/>
        </w:rPr>
      </w:pPr>
      <w:r w:rsidRPr="00EB758D">
        <w:rPr>
          <w:bCs/>
          <w:lang w:val="fr-CA"/>
        </w:rPr>
        <w:t>Déclaration de San Francisco sur l’évaluation de la recherche (DORA)</w:t>
      </w:r>
    </w:p>
    <w:p w14:paraId="4D1B3157" w14:textId="77777777" w:rsidR="00EB758D" w:rsidRPr="00EB758D" w:rsidRDefault="00EB758D" w:rsidP="00EB758D">
      <w:pPr>
        <w:numPr>
          <w:ilvl w:val="0"/>
          <w:numId w:val="28"/>
        </w:numPr>
        <w:rPr>
          <w:bCs/>
          <w:lang w:val="fr-CA"/>
        </w:rPr>
      </w:pPr>
      <w:r w:rsidRPr="00EB758D">
        <w:rPr>
          <w:bCs/>
          <w:lang w:val="fr-CA"/>
        </w:rPr>
        <w:t>Intelligence artificielle et évaluation des demandes de bourses</w:t>
      </w:r>
    </w:p>
    <w:p w14:paraId="7930DFD4" w14:textId="4381EEAF" w:rsidR="00735F40" w:rsidRDefault="00EB758D" w:rsidP="00EB758D">
      <w:pPr>
        <w:rPr>
          <w:bCs/>
          <w:lang w:val="fr-CA"/>
        </w:rPr>
      </w:pPr>
      <w:r w:rsidRPr="00EB758D">
        <w:rPr>
          <w:bCs/>
          <w:lang w:val="fr-CA"/>
        </w:rPr>
        <w:lastRenderedPageBreak/>
        <w:t xml:space="preserve">Pour plus d’informations, nous vous invitons à consulter </w:t>
      </w:r>
      <w:hyperlink r:id="rId12" w:history="1">
        <w:r w:rsidRPr="00B70DBF">
          <w:rPr>
            <w:rStyle w:val="Hyperlink"/>
            <w:bCs/>
            <w:sz w:val="24"/>
            <w:lang w:val="fr-CA"/>
          </w:rPr>
          <w:t>le guide de l’évaluateur</w:t>
        </w:r>
      </w:hyperlink>
      <w:r w:rsidRPr="00EB758D">
        <w:rPr>
          <w:bCs/>
          <w:lang w:val="fr-CA"/>
        </w:rPr>
        <w:t>.</w:t>
      </w:r>
    </w:p>
    <w:p w14:paraId="36C752AC" w14:textId="0E7CB059" w:rsidR="00A51B71" w:rsidRDefault="003377D9" w:rsidP="00860B4E">
      <w:pPr>
        <w:pStyle w:val="Heading1"/>
        <w:rPr>
          <w:lang w:val="fr-CA"/>
        </w:rPr>
      </w:pPr>
      <w:r w:rsidRPr="003377D9">
        <w:rPr>
          <w:lang w:val="fr-CA"/>
        </w:rPr>
        <w:t>Authentification multifact</w:t>
      </w:r>
      <w:r w:rsidR="00835D0F">
        <w:rPr>
          <w:lang w:val="fr-CA"/>
        </w:rPr>
        <w:t>orielle</w:t>
      </w:r>
      <w:r w:rsidRPr="003377D9">
        <w:rPr>
          <w:lang w:val="fr-CA"/>
        </w:rPr>
        <w:t xml:space="preserve"> dans </w:t>
      </w:r>
      <w:proofErr w:type="spellStart"/>
      <w:r w:rsidRPr="003377D9">
        <w:rPr>
          <w:lang w:val="fr-CA"/>
        </w:rPr>
        <w:t>RechercheNet</w:t>
      </w:r>
      <w:proofErr w:type="spellEnd"/>
    </w:p>
    <w:p w14:paraId="18EEB399" w14:textId="77777777" w:rsidR="00943FDF" w:rsidRPr="00943FDF" w:rsidRDefault="00943FDF" w:rsidP="00943FDF">
      <w:pPr>
        <w:rPr>
          <w:bCs/>
          <w:lang w:val="fr-CA"/>
        </w:rPr>
      </w:pPr>
      <w:r w:rsidRPr="00943FDF">
        <w:rPr>
          <w:bCs/>
          <w:lang w:val="fr-CA"/>
        </w:rPr>
        <w:t xml:space="preserve">Les IRSC sont résolus à protéger leurs systèmes et la vie privée des utilisateurs. Dans cette optique, l’organisme munira </w:t>
      </w:r>
      <w:proofErr w:type="spellStart"/>
      <w:r w:rsidRPr="00943FDF">
        <w:rPr>
          <w:bCs/>
          <w:lang w:val="fr-CA"/>
        </w:rPr>
        <w:t>RechercheNet</w:t>
      </w:r>
      <w:proofErr w:type="spellEnd"/>
      <w:r w:rsidRPr="00943FDF">
        <w:rPr>
          <w:bCs/>
          <w:lang w:val="fr-CA"/>
        </w:rPr>
        <w:t xml:space="preserve"> d’un système d’</w:t>
      </w:r>
      <w:hyperlink r:id="rId13" w:history="1">
        <w:r w:rsidRPr="00943FDF">
          <w:rPr>
            <w:rStyle w:val="Hyperlink"/>
            <w:bCs/>
            <w:sz w:val="24"/>
            <w:lang w:val="fr-CA"/>
          </w:rPr>
          <w:t>authentification multifactorielle</w:t>
        </w:r>
      </w:hyperlink>
      <w:r w:rsidRPr="00943FDF">
        <w:rPr>
          <w:bCs/>
          <w:lang w:val="fr-CA"/>
        </w:rPr>
        <w:t xml:space="preserve"> à l’automne 2024.</w:t>
      </w:r>
    </w:p>
    <w:p w14:paraId="186CB9E5" w14:textId="77777777" w:rsidR="00943FDF" w:rsidRPr="00943FDF" w:rsidRDefault="00943FDF" w:rsidP="00943FDF">
      <w:pPr>
        <w:rPr>
          <w:bCs/>
          <w:lang w:val="fr-CA"/>
        </w:rPr>
      </w:pPr>
      <w:r w:rsidRPr="00943FDF">
        <w:rPr>
          <w:bCs/>
          <w:lang w:val="fr-CA"/>
        </w:rPr>
        <w:t xml:space="preserve">Le système se déclenchera dès lors qu’un utilisateur se connectera à </w:t>
      </w:r>
      <w:proofErr w:type="spellStart"/>
      <w:r w:rsidRPr="00943FDF">
        <w:rPr>
          <w:bCs/>
          <w:lang w:val="fr-CA"/>
        </w:rPr>
        <w:t>RechercheNet</w:t>
      </w:r>
      <w:proofErr w:type="spellEnd"/>
      <w:r w:rsidRPr="00943FDF">
        <w:rPr>
          <w:bCs/>
          <w:lang w:val="fr-CA"/>
        </w:rPr>
        <w:t xml:space="preserve">. Pour accéder à son compte, il devra saisir le code envoyé à l’adresse de courriel associée à son profil. Cette étape sera obligatoire pour tous les utilisateurs. </w:t>
      </w:r>
    </w:p>
    <w:p w14:paraId="4B681792" w14:textId="1E243A58" w:rsidR="003377D9" w:rsidRDefault="00943FDF" w:rsidP="00943FDF">
      <w:pPr>
        <w:rPr>
          <w:bCs/>
          <w:lang w:val="fr-CA"/>
        </w:rPr>
      </w:pPr>
      <w:r w:rsidRPr="00943FDF">
        <w:rPr>
          <w:bCs/>
          <w:lang w:val="fr-CA"/>
        </w:rPr>
        <w:t xml:space="preserve">Si vous avez des questions, veuillez consulter </w:t>
      </w:r>
      <w:hyperlink r:id="rId14" w:history="1">
        <w:r w:rsidRPr="00943FDF">
          <w:rPr>
            <w:rStyle w:val="Hyperlink"/>
            <w:bCs/>
            <w:sz w:val="24"/>
            <w:lang w:val="fr-CA"/>
          </w:rPr>
          <w:t>la foire aux questions</w:t>
        </w:r>
      </w:hyperlink>
      <w:r w:rsidRPr="00943FDF">
        <w:rPr>
          <w:bCs/>
          <w:lang w:val="fr-CA"/>
        </w:rPr>
        <w:t xml:space="preserve"> sur l’authentification multifactorielle ou communiquer avec le Centre de contact.</w:t>
      </w:r>
    </w:p>
    <w:p w14:paraId="0D2F68D8" w14:textId="73C5D498" w:rsidR="00943FDF" w:rsidRDefault="00324213" w:rsidP="00860B4E">
      <w:pPr>
        <w:pStyle w:val="Heading1"/>
        <w:rPr>
          <w:lang w:val="fr-CA"/>
        </w:rPr>
      </w:pPr>
      <w:r w:rsidRPr="00324213">
        <w:rPr>
          <w:lang w:val="fr-CA"/>
        </w:rPr>
        <w:t>Élargir l’évaluation des contributions à la recherche et des retombées</w:t>
      </w:r>
    </w:p>
    <w:p w14:paraId="66ABBDE9" w14:textId="265454EF" w:rsidR="00324213" w:rsidRDefault="00030352" w:rsidP="00943FDF">
      <w:pPr>
        <w:rPr>
          <w:bCs/>
          <w:lang w:val="fr-CA"/>
        </w:rPr>
      </w:pPr>
      <w:r w:rsidRPr="00030352">
        <w:rPr>
          <w:bCs/>
          <w:lang w:val="fr-CA"/>
        </w:rPr>
        <w:t xml:space="preserve">La Déclaration de San Francisco sur l’évaluation de la recherche (DORA) souligne la nécessité d’améliorer la façon dont les résultats de la recherche sont évalués. Il est essentiel que les pairs évaluateurs ratissent large lorsqu’ils évaluent les contributions à la recherche et les retombées et qu’ils ne se limitent pas aux indicateurs traditionnels de productivité. À titre d’exemple, plutôt que d’utiliser des indicateurs comme l’indice h, les évaluateurs sont incités à tenir compte de la situation du candidat et à examiner la qualité de ses travaux et leurs retombées directement. Certains indicateurs généralement reconnus et d’autres types de contributions précieuses s’affichent à l’écran. </w:t>
      </w:r>
      <w:hyperlink r:id="rId15" w:history="1">
        <w:r w:rsidRPr="00FA6A09">
          <w:rPr>
            <w:rStyle w:val="Hyperlink"/>
            <w:bCs/>
            <w:sz w:val="24"/>
            <w:lang w:val="fr-CA"/>
          </w:rPr>
          <w:t>N’hésitez pas à consulter notre site Web pour découvrir d’autres façons d’élargir l’évaluation des contributions à la recherche et des retombées</w:t>
        </w:r>
      </w:hyperlink>
      <w:r w:rsidRPr="00030352">
        <w:rPr>
          <w:bCs/>
          <w:lang w:val="fr-CA"/>
        </w:rPr>
        <w:t>.</w:t>
      </w:r>
    </w:p>
    <w:p w14:paraId="3886E13F" w14:textId="34C13151" w:rsidR="00FA6A09" w:rsidRDefault="00DB379E" w:rsidP="00860B4E">
      <w:pPr>
        <w:pStyle w:val="Heading1"/>
        <w:rPr>
          <w:lang w:val="fr-CA"/>
        </w:rPr>
      </w:pPr>
      <w:r w:rsidRPr="00DB379E">
        <w:rPr>
          <w:lang w:val="fr-CA"/>
        </w:rPr>
        <w:t>Intelligence artificielle et évaluation des demandes de bourses</w:t>
      </w:r>
    </w:p>
    <w:p w14:paraId="576637A4" w14:textId="7DD647F3" w:rsidR="00255E59" w:rsidRPr="00255E59" w:rsidRDefault="00255E59" w:rsidP="00255E59">
      <w:pPr>
        <w:rPr>
          <w:bCs/>
          <w:lang w:val="fr-CA"/>
        </w:rPr>
      </w:pPr>
      <w:r w:rsidRPr="00255E59">
        <w:rPr>
          <w:bCs/>
          <w:lang w:val="fr-CA"/>
        </w:rPr>
        <w:t xml:space="preserve">L’essor de puissants outils d’intelligence artificielle ne dispense aucunement les pairs évaluateurs de lire les demandes qui leur sont attribuées et de rédiger des évaluations justes et rigoureuses. Nos collègues des National Institutes of Health des États-Unis ont d’ailleurs récemment indiqué que le fait de copier et de coller des demandes, des propositions ou des </w:t>
      </w:r>
      <w:r w:rsidRPr="00255E59">
        <w:rPr>
          <w:bCs/>
          <w:lang w:val="fr-CA"/>
        </w:rPr>
        <w:lastRenderedPageBreak/>
        <w:t xml:space="preserve">documents de réunion dans des plateformes d’intelligence artificielle constitue un </w:t>
      </w:r>
      <w:hyperlink r:id="rId16" w:history="1">
        <w:r w:rsidRPr="00B84F1C">
          <w:rPr>
            <w:rStyle w:val="Hyperlink"/>
            <w:bCs/>
            <w:sz w:val="24"/>
            <w:lang w:val="fr-CA"/>
          </w:rPr>
          <w:t>manquement au devoir de confidentialité</w:t>
        </w:r>
      </w:hyperlink>
      <w:r w:rsidRPr="00255E59">
        <w:rPr>
          <w:bCs/>
          <w:lang w:val="fr-CA"/>
        </w:rPr>
        <w:t>.</w:t>
      </w:r>
    </w:p>
    <w:p w14:paraId="0771643A" w14:textId="2296A2A6" w:rsidR="00255E59" w:rsidRPr="00255E59" w:rsidRDefault="00255E59" w:rsidP="00255E59">
      <w:pPr>
        <w:rPr>
          <w:bCs/>
          <w:lang w:val="fr-CA"/>
        </w:rPr>
      </w:pPr>
      <w:r w:rsidRPr="00255E59">
        <w:rPr>
          <w:bCs/>
          <w:lang w:val="fr-CA"/>
        </w:rPr>
        <w:t xml:space="preserve">Les questions relatives au plagiat doivent pour leur part être examinées à la lumière du </w:t>
      </w:r>
      <w:hyperlink r:id="rId17" w:history="1">
        <w:r w:rsidRPr="003B22EA">
          <w:rPr>
            <w:rStyle w:val="Hyperlink"/>
            <w:bCs/>
            <w:sz w:val="24"/>
            <w:lang w:val="fr-CA"/>
          </w:rPr>
          <w:t>Cadre de référence des trois organismes sur la conduite responsable de la recherche</w:t>
        </w:r>
      </w:hyperlink>
      <w:r w:rsidRPr="00255E59">
        <w:rPr>
          <w:bCs/>
          <w:lang w:val="fr-CA"/>
        </w:rPr>
        <w:t xml:space="preserve"> et des lignes directrices du Collège des évaluateurs sur la </w:t>
      </w:r>
      <w:hyperlink r:id="rId18" w:history="1">
        <w:r w:rsidRPr="006B2BAF">
          <w:rPr>
            <w:rStyle w:val="Hyperlink"/>
            <w:bCs/>
            <w:sz w:val="24"/>
            <w:lang w:val="fr-CA"/>
          </w:rPr>
          <w:t>qualité de l’évaluation</w:t>
        </w:r>
      </w:hyperlink>
      <w:r w:rsidRPr="00255E59">
        <w:rPr>
          <w:bCs/>
          <w:lang w:val="fr-CA"/>
        </w:rPr>
        <w:t>.</w:t>
      </w:r>
    </w:p>
    <w:p w14:paraId="67909A77" w14:textId="241EA9CA" w:rsidR="00DB379E" w:rsidRDefault="00255E59" w:rsidP="00255E59">
      <w:pPr>
        <w:rPr>
          <w:bCs/>
          <w:lang w:val="fr-CA"/>
        </w:rPr>
      </w:pPr>
      <w:r w:rsidRPr="00255E59">
        <w:rPr>
          <w:bCs/>
          <w:lang w:val="fr-CA"/>
        </w:rPr>
        <w:t>L’utilisation de l’intelligence artificielle est un phénomène qui connaît une évolution rapide, et nous travaillons déjà avec nos collègues des trois organismes à l’élaboration de directives cohérentes sur le sujet qui seront destinées au milieu de la recherche du Canada.</w:t>
      </w:r>
    </w:p>
    <w:p w14:paraId="4B4837E0" w14:textId="220160C7" w:rsidR="006B2BAF" w:rsidRDefault="00D277B9" w:rsidP="00860B4E">
      <w:pPr>
        <w:pStyle w:val="Heading1"/>
        <w:rPr>
          <w:lang w:val="fr-CA"/>
        </w:rPr>
      </w:pPr>
      <w:r>
        <w:rPr>
          <w:lang w:val="fr-CA"/>
        </w:rPr>
        <w:t>Autres ressources</w:t>
      </w:r>
    </w:p>
    <w:p w14:paraId="6AE7EEC7" w14:textId="275E4691" w:rsidR="00AF1C02" w:rsidRPr="00AF1C02" w:rsidRDefault="00AF1C02" w:rsidP="00AF1C02">
      <w:pPr>
        <w:rPr>
          <w:bCs/>
          <w:lang w:val="fr-CA"/>
        </w:rPr>
      </w:pPr>
      <w:r w:rsidRPr="00AF1C02">
        <w:rPr>
          <w:bCs/>
          <w:lang w:val="fr-CA"/>
        </w:rPr>
        <w:t>Les ressources qui s’affichent à l’écran vous fourniront des renseignements complémentaires pour vous préparer à l’évaluation des demandes présentées aux programmes de bourses de recherche au doctorat.</w:t>
      </w:r>
    </w:p>
    <w:p w14:paraId="250EF189" w14:textId="0C1B0BFB" w:rsidR="00D277B9" w:rsidRDefault="00AF1C02" w:rsidP="00AF1C02">
      <w:pPr>
        <w:rPr>
          <w:bCs/>
          <w:lang w:val="fr-CA"/>
        </w:rPr>
      </w:pPr>
      <w:r w:rsidRPr="00AF1C02">
        <w:rPr>
          <w:bCs/>
          <w:lang w:val="fr-CA"/>
        </w:rPr>
        <w:t xml:space="preserve">Vous pouvez quitter le module et </w:t>
      </w:r>
      <w:hyperlink r:id="rId19" w:history="1">
        <w:r w:rsidRPr="00E9286F">
          <w:rPr>
            <w:rStyle w:val="Hyperlink"/>
            <w:bCs/>
            <w:sz w:val="24"/>
            <w:lang w:val="fr-CA"/>
          </w:rPr>
          <w:t>retourner à la page d’apprentissage</w:t>
        </w:r>
      </w:hyperlink>
      <w:r w:rsidRPr="00AF1C02">
        <w:rPr>
          <w:bCs/>
          <w:lang w:val="fr-CA"/>
        </w:rPr>
        <w:t xml:space="preserve"> ou passer au module suivant, consacré à </w:t>
      </w:r>
      <w:hyperlink r:id="rId20" w:history="1">
        <w:r w:rsidRPr="00B7003E">
          <w:rPr>
            <w:rStyle w:val="Hyperlink"/>
            <w:bCs/>
            <w:sz w:val="24"/>
            <w:lang w:val="fr-CA"/>
          </w:rPr>
          <w:t>l’évaluation par les pairs pour les programmes de bourses de recherche au doctorat</w:t>
        </w:r>
      </w:hyperlink>
      <w:r w:rsidRPr="00AF1C02">
        <w:rPr>
          <w:bCs/>
          <w:lang w:val="fr-CA"/>
        </w:rPr>
        <w:t>.</w:t>
      </w:r>
    </w:p>
    <w:sectPr w:rsidR="00D277B9" w:rsidSect="00AF338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2715A" w14:textId="77777777" w:rsidR="00AF3383" w:rsidRDefault="00AF3383" w:rsidP="00D44256">
      <w:r>
        <w:separator/>
      </w:r>
    </w:p>
  </w:endnote>
  <w:endnote w:type="continuationSeparator" w:id="0">
    <w:p w14:paraId="40AF1DB0" w14:textId="77777777" w:rsidR="00AF3383" w:rsidRDefault="00AF3383" w:rsidP="00D44256">
      <w:r>
        <w:continuationSeparator/>
      </w:r>
    </w:p>
  </w:endnote>
  <w:endnote w:type="continuationNotice" w:id="1">
    <w:p w14:paraId="0225A2AE" w14:textId="77777777" w:rsidR="00AF3383" w:rsidRDefault="00AF3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285593"/>
      <w:docPartObj>
        <w:docPartGallery w:val="Page Numbers (Bottom of Page)"/>
        <w:docPartUnique/>
      </w:docPartObj>
    </w:sdtPr>
    <w:sdtEndPr/>
    <w:sdtContent>
      <w:sdt>
        <w:sdtPr>
          <w:id w:val="-1705238520"/>
          <w:docPartObj>
            <w:docPartGallery w:val="Page Numbers (Top of Page)"/>
            <w:docPartUnique/>
          </w:docPartObj>
        </w:sdtPr>
        <w:sdtEndPr/>
        <w:sdtContent>
          <w:p w14:paraId="55ED9D2D" w14:textId="485B8DEC" w:rsidR="0074599C" w:rsidRDefault="0074599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008A1E4F">
              <w:t>de</w:t>
            </w:r>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0C2AF" w14:textId="77777777" w:rsidR="00AF3383" w:rsidRDefault="00AF3383" w:rsidP="00D44256">
      <w:r>
        <w:separator/>
      </w:r>
    </w:p>
  </w:footnote>
  <w:footnote w:type="continuationSeparator" w:id="0">
    <w:p w14:paraId="7DD3BA6D" w14:textId="77777777" w:rsidR="00AF3383" w:rsidRDefault="00AF3383" w:rsidP="00D44256">
      <w:r>
        <w:continuationSeparator/>
      </w:r>
    </w:p>
  </w:footnote>
  <w:footnote w:type="continuationNotice" w:id="1">
    <w:p w14:paraId="2D9F3C39" w14:textId="77777777" w:rsidR="00AF3383" w:rsidRDefault="00AF33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478EC85A" w:rsidR="007015BE" w:rsidRPr="003C7370" w:rsidRDefault="003C7370" w:rsidP="00700B6E">
    <w:pPr>
      <w:tabs>
        <w:tab w:val="left" w:pos="4845"/>
      </w:tabs>
      <w:spacing w:after="0"/>
    </w:pPr>
    <w:r w:rsidRPr="003C7370">
      <w:rPr>
        <w:rFonts w:ascii="Calibri" w:eastAsia="Calibri" w:hAnsi="Calibri" w:cs="Calibri"/>
        <w:noProof/>
      </w:rPr>
      <w:drawing>
        <wp:anchor distT="0" distB="0" distL="114300" distR="114300" simplePos="0" relativeHeight="251658240" behindDoc="0" locked="0" layoutInCell="1" allowOverlap="1" wp14:anchorId="3F44BE17" wp14:editId="72F21E23">
          <wp:simplePos x="0" y="0"/>
          <wp:positionH relativeFrom="margin">
            <wp:posOffset>5153025</wp:posOffset>
          </wp:positionH>
          <wp:positionV relativeFrom="margin">
            <wp:posOffset>-485775</wp:posOffset>
          </wp:positionV>
          <wp:extent cx="838200" cy="359410"/>
          <wp:effectExtent l="0" t="0" r="0" b="2540"/>
          <wp:wrapSquare wrapText="bothSides"/>
          <wp:docPr id="6"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3C7370">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3C7370">
      <w:rPr>
        <w:rFonts w:ascii="Calibri" w:eastAsia="Calibri" w:hAnsi="Calibri" w:cs="Arial"/>
        <w:noProof/>
        <w:sz w:val="22"/>
      </w:rPr>
      <w:drawing>
        <wp:inline distT="0" distB="0" distL="0" distR="0" wp14:anchorId="0AAC7829" wp14:editId="3692FC34">
          <wp:extent cx="2085975" cy="171450"/>
          <wp:effectExtent l="0" t="0" r="9525" b="0"/>
          <wp:docPr id="1081398241"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98241"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3C7370">
      <w:rPr>
        <w:rFonts w:ascii="Calibri" w:eastAsia="Calibri" w:hAnsi="Calibri" w:cs="Arial"/>
        <w:sz w:val="22"/>
      </w:rPr>
      <w:t xml:space="preserve"> </w:t>
    </w:r>
    <w:r w:rsidRPr="003C7370">
      <w:rPr>
        <w:rFonts w:ascii="Calibri" w:eastAsia="Calibri" w:hAnsi="Calibri"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1032"/>
    <w:multiLevelType w:val="hybridMultilevel"/>
    <w:tmpl w:val="1CF2E8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C0E69"/>
    <w:multiLevelType w:val="hybridMultilevel"/>
    <w:tmpl w:val="1510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3B795A"/>
    <w:multiLevelType w:val="hybridMultilevel"/>
    <w:tmpl w:val="26525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9"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C6C5E"/>
    <w:multiLevelType w:val="hybridMultilevel"/>
    <w:tmpl w:val="07B05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2"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DF5F37"/>
    <w:multiLevelType w:val="hybridMultilevel"/>
    <w:tmpl w:val="F7F2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696ECD"/>
    <w:multiLevelType w:val="hybridMultilevel"/>
    <w:tmpl w:val="1CF2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4560DD5"/>
    <w:multiLevelType w:val="hybridMultilevel"/>
    <w:tmpl w:val="B350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8"/>
  </w:num>
  <w:num w:numId="2" w16cid:durableId="564224803">
    <w:abstractNumId w:val="11"/>
  </w:num>
  <w:num w:numId="3" w16cid:durableId="2011830391">
    <w:abstractNumId w:val="20"/>
  </w:num>
  <w:num w:numId="4" w16cid:durableId="1891258902">
    <w:abstractNumId w:val="24"/>
  </w:num>
  <w:num w:numId="5" w16cid:durableId="1883788728">
    <w:abstractNumId w:val="19"/>
  </w:num>
  <w:num w:numId="6" w16cid:durableId="272592703">
    <w:abstractNumId w:val="5"/>
  </w:num>
  <w:num w:numId="7" w16cid:durableId="275866725">
    <w:abstractNumId w:val="14"/>
  </w:num>
  <w:num w:numId="8" w16cid:durableId="1970432206">
    <w:abstractNumId w:val="27"/>
  </w:num>
  <w:num w:numId="9" w16cid:durableId="414283936">
    <w:abstractNumId w:val="6"/>
  </w:num>
  <w:num w:numId="10" w16cid:durableId="1529560334">
    <w:abstractNumId w:val="2"/>
  </w:num>
  <w:num w:numId="11" w16cid:durableId="838933676">
    <w:abstractNumId w:val="17"/>
  </w:num>
  <w:num w:numId="12" w16cid:durableId="1800370797">
    <w:abstractNumId w:val="25"/>
  </w:num>
  <w:num w:numId="13" w16cid:durableId="316227834">
    <w:abstractNumId w:val="26"/>
  </w:num>
  <w:num w:numId="14" w16cid:durableId="245040792">
    <w:abstractNumId w:val="12"/>
  </w:num>
  <w:num w:numId="15" w16cid:durableId="643777158">
    <w:abstractNumId w:val="16"/>
  </w:num>
  <w:num w:numId="16" w16cid:durableId="700789395">
    <w:abstractNumId w:val="22"/>
  </w:num>
  <w:num w:numId="17" w16cid:durableId="1875997093">
    <w:abstractNumId w:val="3"/>
  </w:num>
  <w:num w:numId="18" w16cid:durableId="1736397311">
    <w:abstractNumId w:val="23"/>
  </w:num>
  <w:num w:numId="19" w16cid:durableId="1744064577">
    <w:abstractNumId w:val="7"/>
  </w:num>
  <w:num w:numId="20" w16cid:durableId="131950576">
    <w:abstractNumId w:val="15"/>
  </w:num>
  <w:num w:numId="21" w16cid:durableId="475802630">
    <w:abstractNumId w:val="9"/>
  </w:num>
  <w:num w:numId="22" w16cid:durableId="859127122">
    <w:abstractNumId w:val="10"/>
  </w:num>
  <w:num w:numId="23" w16cid:durableId="1235242354">
    <w:abstractNumId w:val="4"/>
  </w:num>
  <w:num w:numId="24" w16cid:durableId="1509053084">
    <w:abstractNumId w:val="21"/>
  </w:num>
  <w:num w:numId="25" w16cid:durableId="1582909791">
    <w:abstractNumId w:val="1"/>
  </w:num>
  <w:num w:numId="26" w16cid:durableId="635334187">
    <w:abstractNumId w:val="13"/>
  </w:num>
  <w:num w:numId="27" w16cid:durableId="1948080804">
    <w:abstractNumId w:val="18"/>
  </w:num>
  <w:num w:numId="28" w16cid:durableId="185984759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395"/>
    <w:rsid w:val="00017F14"/>
    <w:rsid w:val="00030352"/>
    <w:rsid w:val="00043391"/>
    <w:rsid w:val="0005012A"/>
    <w:rsid w:val="00051189"/>
    <w:rsid w:val="000523A6"/>
    <w:rsid w:val="00052C3A"/>
    <w:rsid w:val="000531BA"/>
    <w:rsid w:val="000559E0"/>
    <w:rsid w:val="00057EAA"/>
    <w:rsid w:val="00057EE1"/>
    <w:rsid w:val="0006705D"/>
    <w:rsid w:val="00081F5B"/>
    <w:rsid w:val="0008242E"/>
    <w:rsid w:val="00086331"/>
    <w:rsid w:val="0008648D"/>
    <w:rsid w:val="00092D48"/>
    <w:rsid w:val="000A4B5D"/>
    <w:rsid w:val="000A6D4E"/>
    <w:rsid w:val="000B2182"/>
    <w:rsid w:val="000C5CB8"/>
    <w:rsid w:val="000E0DC7"/>
    <w:rsid w:val="000E161E"/>
    <w:rsid w:val="000E7748"/>
    <w:rsid w:val="000F3DC1"/>
    <w:rsid w:val="001111E8"/>
    <w:rsid w:val="00113B6A"/>
    <w:rsid w:val="00117E92"/>
    <w:rsid w:val="00121A42"/>
    <w:rsid w:val="0012366B"/>
    <w:rsid w:val="001246B5"/>
    <w:rsid w:val="001246D1"/>
    <w:rsid w:val="00126B2B"/>
    <w:rsid w:val="00126BCD"/>
    <w:rsid w:val="00136422"/>
    <w:rsid w:val="00136F52"/>
    <w:rsid w:val="00137999"/>
    <w:rsid w:val="00152294"/>
    <w:rsid w:val="001558EB"/>
    <w:rsid w:val="00164C22"/>
    <w:rsid w:val="00166E18"/>
    <w:rsid w:val="00175FB8"/>
    <w:rsid w:val="0018114E"/>
    <w:rsid w:val="00186547"/>
    <w:rsid w:val="00194E88"/>
    <w:rsid w:val="001961EB"/>
    <w:rsid w:val="00197B53"/>
    <w:rsid w:val="001A75AA"/>
    <w:rsid w:val="001D3233"/>
    <w:rsid w:val="001D3CBA"/>
    <w:rsid w:val="001E2645"/>
    <w:rsid w:val="001E6269"/>
    <w:rsid w:val="001F045B"/>
    <w:rsid w:val="002028F2"/>
    <w:rsid w:val="00203F06"/>
    <w:rsid w:val="00204A28"/>
    <w:rsid w:val="00206CA1"/>
    <w:rsid w:val="00207694"/>
    <w:rsid w:val="00215C1A"/>
    <w:rsid w:val="00222060"/>
    <w:rsid w:val="00232356"/>
    <w:rsid w:val="00236908"/>
    <w:rsid w:val="00240CCD"/>
    <w:rsid w:val="00245384"/>
    <w:rsid w:val="0024625E"/>
    <w:rsid w:val="00246DDE"/>
    <w:rsid w:val="002476DE"/>
    <w:rsid w:val="00247C32"/>
    <w:rsid w:val="00253BD4"/>
    <w:rsid w:val="00255E59"/>
    <w:rsid w:val="00260EB6"/>
    <w:rsid w:val="00262812"/>
    <w:rsid w:val="00263717"/>
    <w:rsid w:val="0028022A"/>
    <w:rsid w:val="002834C7"/>
    <w:rsid w:val="00286625"/>
    <w:rsid w:val="00287784"/>
    <w:rsid w:val="002924EC"/>
    <w:rsid w:val="00294C0D"/>
    <w:rsid w:val="002A76C5"/>
    <w:rsid w:val="002B393A"/>
    <w:rsid w:val="002B692C"/>
    <w:rsid w:val="002C46F2"/>
    <w:rsid w:val="002C6847"/>
    <w:rsid w:val="002D6D79"/>
    <w:rsid w:val="002D716D"/>
    <w:rsid w:val="002E28E1"/>
    <w:rsid w:val="00302028"/>
    <w:rsid w:val="00310C29"/>
    <w:rsid w:val="00311A91"/>
    <w:rsid w:val="00315440"/>
    <w:rsid w:val="00324213"/>
    <w:rsid w:val="00330156"/>
    <w:rsid w:val="00330754"/>
    <w:rsid w:val="00330C97"/>
    <w:rsid w:val="00336851"/>
    <w:rsid w:val="003377D9"/>
    <w:rsid w:val="003454B2"/>
    <w:rsid w:val="00351B07"/>
    <w:rsid w:val="00354F58"/>
    <w:rsid w:val="00362A90"/>
    <w:rsid w:val="00365F6B"/>
    <w:rsid w:val="00367065"/>
    <w:rsid w:val="003721FD"/>
    <w:rsid w:val="003734F7"/>
    <w:rsid w:val="00374A3C"/>
    <w:rsid w:val="0038511C"/>
    <w:rsid w:val="00391421"/>
    <w:rsid w:val="00391AEC"/>
    <w:rsid w:val="0039790C"/>
    <w:rsid w:val="003A14A5"/>
    <w:rsid w:val="003A7DA5"/>
    <w:rsid w:val="003B22EA"/>
    <w:rsid w:val="003B7746"/>
    <w:rsid w:val="003C0584"/>
    <w:rsid w:val="003C5BA0"/>
    <w:rsid w:val="003C65CA"/>
    <w:rsid w:val="003C7370"/>
    <w:rsid w:val="003D089A"/>
    <w:rsid w:val="003D2E7D"/>
    <w:rsid w:val="003D3368"/>
    <w:rsid w:val="003E24B7"/>
    <w:rsid w:val="003E4D8A"/>
    <w:rsid w:val="003F2FA7"/>
    <w:rsid w:val="0040257B"/>
    <w:rsid w:val="00404423"/>
    <w:rsid w:val="0040544F"/>
    <w:rsid w:val="004107A1"/>
    <w:rsid w:val="00415F84"/>
    <w:rsid w:val="004341CF"/>
    <w:rsid w:val="00434DA1"/>
    <w:rsid w:val="0043689A"/>
    <w:rsid w:val="00440806"/>
    <w:rsid w:val="0044686D"/>
    <w:rsid w:val="00446D1C"/>
    <w:rsid w:val="00446EF0"/>
    <w:rsid w:val="00447527"/>
    <w:rsid w:val="004517B9"/>
    <w:rsid w:val="004562E2"/>
    <w:rsid w:val="0046000E"/>
    <w:rsid w:val="00464017"/>
    <w:rsid w:val="0047035A"/>
    <w:rsid w:val="00482E69"/>
    <w:rsid w:val="004856E5"/>
    <w:rsid w:val="004858AA"/>
    <w:rsid w:val="00491EFC"/>
    <w:rsid w:val="0049206F"/>
    <w:rsid w:val="00495BBF"/>
    <w:rsid w:val="004A3CD5"/>
    <w:rsid w:val="004B20A2"/>
    <w:rsid w:val="004B6EA4"/>
    <w:rsid w:val="004C3467"/>
    <w:rsid w:val="004C3896"/>
    <w:rsid w:val="004D054D"/>
    <w:rsid w:val="004D57C9"/>
    <w:rsid w:val="004D77C7"/>
    <w:rsid w:val="004E2945"/>
    <w:rsid w:val="00501934"/>
    <w:rsid w:val="005106DF"/>
    <w:rsid w:val="0051155F"/>
    <w:rsid w:val="00513DD6"/>
    <w:rsid w:val="00513F11"/>
    <w:rsid w:val="00523449"/>
    <w:rsid w:val="00523CA1"/>
    <w:rsid w:val="0052448E"/>
    <w:rsid w:val="00527435"/>
    <w:rsid w:val="00533AEF"/>
    <w:rsid w:val="00545CE1"/>
    <w:rsid w:val="0056104A"/>
    <w:rsid w:val="0056172E"/>
    <w:rsid w:val="005631F4"/>
    <w:rsid w:val="0056473B"/>
    <w:rsid w:val="00572B15"/>
    <w:rsid w:val="00574947"/>
    <w:rsid w:val="0057588F"/>
    <w:rsid w:val="00576E69"/>
    <w:rsid w:val="00596F32"/>
    <w:rsid w:val="005A23EC"/>
    <w:rsid w:val="005A4FDD"/>
    <w:rsid w:val="005A7472"/>
    <w:rsid w:val="005B3045"/>
    <w:rsid w:val="005B3D34"/>
    <w:rsid w:val="005C50F3"/>
    <w:rsid w:val="005C5118"/>
    <w:rsid w:val="005D7E58"/>
    <w:rsid w:val="005E25C9"/>
    <w:rsid w:val="005E2CFC"/>
    <w:rsid w:val="005F441A"/>
    <w:rsid w:val="005F7E56"/>
    <w:rsid w:val="00607990"/>
    <w:rsid w:val="0061291D"/>
    <w:rsid w:val="00620C6C"/>
    <w:rsid w:val="00644FDC"/>
    <w:rsid w:val="0065099A"/>
    <w:rsid w:val="00651374"/>
    <w:rsid w:val="00654C7A"/>
    <w:rsid w:val="006622F8"/>
    <w:rsid w:val="006668E8"/>
    <w:rsid w:val="0067019C"/>
    <w:rsid w:val="00673BAD"/>
    <w:rsid w:val="006874FB"/>
    <w:rsid w:val="00690AA1"/>
    <w:rsid w:val="006A2976"/>
    <w:rsid w:val="006A315C"/>
    <w:rsid w:val="006A5B6A"/>
    <w:rsid w:val="006B2BAF"/>
    <w:rsid w:val="006C504E"/>
    <w:rsid w:val="006D7A8A"/>
    <w:rsid w:val="006E1010"/>
    <w:rsid w:val="006E4154"/>
    <w:rsid w:val="006F0725"/>
    <w:rsid w:val="006F3E5E"/>
    <w:rsid w:val="006F48EA"/>
    <w:rsid w:val="00700B6E"/>
    <w:rsid w:val="007015BE"/>
    <w:rsid w:val="00703518"/>
    <w:rsid w:val="00704EB2"/>
    <w:rsid w:val="00706E55"/>
    <w:rsid w:val="00707027"/>
    <w:rsid w:val="00707333"/>
    <w:rsid w:val="0070751C"/>
    <w:rsid w:val="00707DEA"/>
    <w:rsid w:val="0072227D"/>
    <w:rsid w:val="00731120"/>
    <w:rsid w:val="00735420"/>
    <w:rsid w:val="00735F40"/>
    <w:rsid w:val="007365DC"/>
    <w:rsid w:val="0074599C"/>
    <w:rsid w:val="0075583B"/>
    <w:rsid w:val="00765214"/>
    <w:rsid w:val="00767DE1"/>
    <w:rsid w:val="0077314B"/>
    <w:rsid w:val="00774008"/>
    <w:rsid w:val="00774037"/>
    <w:rsid w:val="00776DB7"/>
    <w:rsid w:val="007860FD"/>
    <w:rsid w:val="00787625"/>
    <w:rsid w:val="00796617"/>
    <w:rsid w:val="007A104B"/>
    <w:rsid w:val="007A1207"/>
    <w:rsid w:val="007A4DF1"/>
    <w:rsid w:val="007A55DB"/>
    <w:rsid w:val="007B0BF4"/>
    <w:rsid w:val="007B1590"/>
    <w:rsid w:val="007B391D"/>
    <w:rsid w:val="007C5EEB"/>
    <w:rsid w:val="007C6153"/>
    <w:rsid w:val="007D30BC"/>
    <w:rsid w:val="007E4AC7"/>
    <w:rsid w:val="007F30B2"/>
    <w:rsid w:val="007F7C53"/>
    <w:rsid w:val="00810642"/>
    <w:rsid w:val="008110F9"/>
    <w:rsid w:val="0081316E"/>
    <w:rsid w:val="00813BC4"/>
    <w:rsid w:val="008201CD"/>
    <w:rsid w:val="0082067D"/>
    <w:rsid w:val="008239B4"/>
    <w:rsid w:val="0082732E"/>
    <w:rsid w:val="008344AC"/>
    <w:rsid w:val="00835D0F"/>
    <w:rsid w:val="00837D10"/>
    <w:rsid w:val="0084022D"/>
    <w:rsid w:val="008438CB"/>
    <w:rsid w:val="00843A1C"/>
    <w:rsid w:val="00843D43"/>
    <w:rsid w:val="00855860"/>
    <w:rsid w:val="00855A86"/>
    <w:rsid w:val="00860B4E"/>
    <w:rsid w:val="00861C41"/>
    <w:rsid w:val="0086465F"/>
    <w:rsid w:val="00870722"/>
    <w:rsid w:val="0088742B"/>
    <w:rsid w:val="00891079"/>
    <w:rsid w:val="00896FB5"/>
    <w:rsid w:val="008A12C0"/>
    <w:rsid w:val="008A1E4F"/>
    <w:rsid w:val="008A4F2E"/>
    <w:rsid w:val="008B7E93"/>
    <w:rsid w:val="008C02F5"/>
    <w:rsid w:val="008C10C0"/>
    <w:rsid w:val="008C1A43"/>
    <w:rsid w:val="008C529D"/>
    <w:rsid w:val="008D1564"/>
    <w:rsid w:val="008D1C39"/>
    <w:rsid w:val="008E1538"/>
    <w:rsid w:val="008E40E2"/>
    <w:rsid w:val="008F131D"/>
    <w:rsid w:val="008F43A1"/>
    <w:rsid w:val="0090004D"/>
    <w:rsid w:val="009032A8"/>
    <w:rsid w:val="009236E4"/>
    <w:rsid w:val="00927D11"/>
    <w:rsid w:val="00930A9B"/>
    <w:rsid w:val="009363E1"/>
    <w:rsid w:val="00937619"/>
    <w:rsid w:val="00943A4B"/>
    <w:rsid w:val="00943FDF"/>
    <w:rsid w:val="00945DAF"/>
    <w:rsid w:val="00950453"/>
    <w:rsid w:val="00955B19"/>
    <w:rsid w:val="00956122"/>
    <w:rsid w:val="009624A2"/>
    <w:rsid w:val="00974A3D"/>
    <w:rsid w:val="00982BC3"/>
    <w:rsid w:val="009A3340"/>
    <w:rsid w:val="009B1CD7"/>
    <w:rsid w:val="009B44DE"/>
    <w:rsid w:val="009B4D68"/>
    <w:rsid w:val="009C0555"/>
    <w:rsid w:val="009C6A7A"/>
    <w:rsid w:val="009C735F"/>
    <w:rsid w:val="009D68C4"/>
    <w:rsid w:val="009E4ABB"/>
    <w:rsid w:val="009E7C48"/>
    <w:rsid w:val="009E7F60"/>
    <w:rsid w:val="009F255E"/>
    <w:rsid w:val="009F592E"/>
    <w:rsid w:val="009F7588"/>
    <w:rsid w:val="00A00D35"/>
    <w:rsid w:val="00A11463"/>
    <w:rsid w:val="00A166F0"/>
    <w:rsid w:val="00A326F1"/>
    <w:rsid w:val="00A47166"/>
    <w:rsid w:val="00A50003"/>
    <w:rsid w:val="00A51B71"/>
    <w:rsid w:val="00A5599E"/>
    <w:rsid w:val="00A57A33"/>
    <w:rsid w:val="00A61999"/>
    <w:rsid w:val="00A77D9F"/>
    <w:rsid w:val="00A870E4"/>
    <w:rsid w:val="00AA28D0"/>
    <w:rsid w:val="00AA667F"/>
    <w:rsid w:val="00AB2735"/>
    <w:rsid w:val="00AB4909"/>
    <w:rsid w:val="00AC1B31"/>
    <w:rsid w:val="00AD06AB"/>
    <w:rsid w:val="00AD437C"/>
    <w:rsid w:val="00AD4D81"/>
    <w:rsid w:val="00AD5F63"/>
    <w:rsid w:val="00AD7605"/>
    <w:rsid w:val="00AE4590"/>
    <w:rsid w:val="00AE72BA"/>
    <w:rsid w:val="00AF0FA5"/>
    <w:rsid w:val="00AF1C02"/>
    <w:rsid w:val="00AF3383"/>
    <w:rsid w:val="00B01C79"/>
    <w:rsid w:val="00B21021"/>
    <w:rsid w:val="00B21940"/>
    <w:rsid w:val="00B23A1C"/>
    <w:rsid w:val="00B341D2"/>
    <w:rsid w:val="00B44A61"/>
    <w:rsid w:val="00B45F91"/>
    <w:rsid w:val="00B518F4"/>
    <w:rsid w:val="00B7003E"/>
    <w:rsid w:val="00B70DBF"/>
    <w:rsid w:val="00B801D7"/>
    <w:rsid w:val="00B81B3F"/>
    <w:rsid w:val="00B84F1C"/>
    <w:rsid w:val="00B9480D"/>
    <w:rsid w:val="00B979E2"/>
    <w:rsid w:val="00BA3B0F"/>
    <w:rsid w:val="00BB30CD"/>
    <w:rsid w:val="00BB4BB1"/>
    <w:rsid w:val="00BC1CFE"/>
    <w:rsid w:val="00BC4B68"/>
    <w:rsid w:val="00BC4CF5"/>
    <w:rsid w:val="00BE0C07"/>
    <w:rsid w:val="00BE15FC"/>
    <w:rsid w:val="00BF586F"/>
    <w:rsid w:val="00BF62C4"/>
    <w:rsid w:val="00C03C96"/>
    <w:rsid w:val="00C04819"/>
    <w:rsid w:val="00C07197"/>
    <w:rsid w:val="00C1473F"/>
    <w:rsid w:val="00C1499F"/>
    <w:rsid w:val="00C16D0E"/>
    <w:rsid w:val="00C2094A"/>
    <w:rsid w:val="00C21EAB"/>
    <w:rsid w:val="00C5250F"/>
    <w:rsid w:val="00C55E25"/>
    <w:rsid w:val="00C56D63"/>
    <w:rsid w:val="00C5745D"/>
    <w:rsid w:val="00C63071"/>
    <w:rsid w:val="00C70939"/>
    <w:rsid w:val="00C71E69"/>
    <w:rsid w:val="00C9382E"/>
    <w:rsid w:val="00C94713"/>
    <w:rsid w:val="00C95CFD"/>
    <w:rsid w:val="00CA0DB5"/>
    <w:rsid w:val="00CA150E"/>
    <w:rsid w:val="00CB1D24"/>
    <w:rsid w:val="00CD021B"/>
    <w:rsid w:val="00CD4F6D"/>
    <w:rsid w:val="00CD6C2C"/>
    <w:rsid w:val="00CE42B9"/>
    <w:rsid w:val="00CF2857"/>
    <w:rsid w:val="00CF4F54"/>
    <w:rsid w:val="00D06146"/>
    <w:rsid w:val="00D24263"/>
    <w:rsid w:val="00D257D8"/>
    <w:rsid w:val="00D25CFD"/>
    <w:rsid w:val="00D277B9"/>
    <w:rsid w:val="00D27D46"/>
    <w:rsid w:val="00D346F2"/>
    <w:rsid w:val="00D36E2F"/>
    <w:rsid w:val="00D44256"/>
    <w:rsid w:val="00D443FA"/>
    <w:rsid w:val="00D51199"/>
    <w:rsid w:val="00D71D2A"/>
    <w:rsid w:val="00D72FB1"/>
    <w:rsid w:val="00D73ABD"/>
    <w:rsid w:val="00D74DB5"/>
    <w:rsid w:val="00D842CE"/>
    <w:rsid w:val="00D85710"/>
    <w:rsid w:val="00D8760A"/>
    <w:rsid w:val="00D87A6B"/>
    <w:rsid w:val="00D908BE"/>
    <w:rsid w:val="00DA5434"/>
    <w:rsid w:val="00DA621F"/>
    <w:rsid w:val="00DB1384"/>
    <w:rsid w:val="00DB379E"/>
    <w:rsid w:val="00DC16CA"/>
    <w:rsid w:val="00DC3FA4"/>
    <w:rsid w:val="00DD035B"/>
    <w:rsid w:val="00DD35A9"/>
    <w:rsid w:val="00DD7E43"/>
    <w:rsid w:val="00DE3017"/>
    <w:rsid w:val="00DE6CC6"/>
    <w:rsid w:val="00DF1438"/>
    <w:rsid w:val="00E06EC9"/>
    <w:rsid w:val="00E079E6"/>
    <w:rsid w:val="00E20FD1"/>
    <w:rsid w:val="00E30952"/>
    <w:rsid w:val="00E373DB"/>
    <w:rsid w:val="00E419EB"/>
    <w:rsid w:val="00E4685F"/>
    <w:rsid w:val="00E51383"/>
    <w:rsid w:val="00E52B1D"/>
    <w:rsid w:val="00E54249"/>
    <w:rsid w:val="00E606AE"/>
    <w:rsid w:val="00E6393D"/>
    <w:rsid w:val="00E65B5D"/>
    <w:rsid w:val="00E77307"/>
    <w:rsid w:val="00E77E01"/>
    <w:rsid w:val="00E80983"/>
    <w:rsid w:val="00E8133C"/>
    <w:rsid w:val="00E833CC"/>
    <w:rsid w:val="00E86D75"/>
    <w:rsid w:val="00E90707"/>
    <w:rsid w:val="00E90A7E"/>
    <w:rsid w:val="00E9286F"/>
    <w:rsid w:val="00E929FB"/>
    <w:rsid w:val="00EB758D"/>
    <w:rsid w:val="00EC59B6"/>
    <w:rsid w:val="00EE311F"/>
    <w:rsid w:val="00EF3A73"/>
    <w:rsid w:val="00F06CFD"/>
    <w:rsid w:val="00F075E6"/>
    <w:rsid w:val="00F076E3"/>
    <w:rsid w:val="00F103B1"/>
    <w:rsid w:val="00F13D5A"/>
    <w:rsid w:val="00F225A2"/>
    <w:rsid w:val="00F2743E"/>
    <w:rsid w:val="00F2793E"/>
    <w:rsid w:val="00F3172D"/>
    <w:rsid w:val="00F31C7D"/>
    <w:rsid w:val="00F73C23"/>
    <w:rsid w:val="00F75E62"/>
    <w:rsid w:val="00F8288E"/>
    <w:rsid w:val="00F9695E"/>
    <w:rsid w:val="00FA05A8"/>
    <w:rsid w:val="00FA3EB0"/>
    <w:rsid w:val="00FA6A09"/>
    <w:rsid w:val="00FA73E9"/>
    <w:rsid w:val="00FB0FB4"/>
    <w:rsid w:val="00FB51C8"/>
    <w:rsid w:val="00FB670D"/>
    <w:rsid w:val="00FC08C5"/>
    <w:rsid w:val="00FC1AE3"/>
    <w:rsid w:val="00FD356B"/>
    <w:rsid w:val="00FD3C82"/>
    <w:rsid w:val="00FE583F"/>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FAADD1DB-CA91-486F-B7EB-7D4FFD2C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E"/>
    <w:rPr>
      <w:rFonts w:cstheme="minorHAnsi"/>
      <w:sz w:val="24"/>
    </w:rPr>
  </w:style>
  <w:style w:type="paragraph" w:styleId="Heading1">
    <w:name w:val="heading 1"/>
    <w:basedOn w:val="Normal"/>
    <w:link w:val="Heading1Char"/>
    <w:uiPriority w:val="1"/>
    <w:qFormat/>
    <w:rsid w:val="00700B6E"/>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700B6E"/>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14470">
      <w:bodyDiv w:val="1"/>
      <w:marLeft w:val="0"/>
      <w:marRight w:val="0"/>
      <w:marTop w:val="0"/>
      <w:marBottom w:val="0"/>
      <w:divBdr>
        <w:top w:val="none" w:sz="0" w:space="0" w:color="auto"/>
        <w:left w:val="none" w:sz="0" w:space="0" w:color="auto"/>
        <w:bottom w:val="none" w:sz="0" w:space="0" w:color="auto"/>
        <w:right w:val="none" w:sz="0" w:space="0" w:color="auto"/>
      </w:divBdr>
    </w:div>
    <w:div w:id="1574388676">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r-irsc.gc.ca/f/53939.html" TargetMode="External"/><Relationship Id="rId18" Type="http://schemas.openxmlformats.org/officeDocument/2006/relationships/hyperlink" Target="https://cihr-irsc.gc.ca/f/50787.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ihr-irsc.gc.ca/f/33043.html" TargetMode="External"/><Relationship Id="rId17" Type="http://schemas.openxmlformats.org/officeDocument/2006/relationships/hyperlink" Target="https://rcr.ethics.gc.ca/fra/framework-cadre-2021.html" TargetMode="External"/><Relationship Id="rId2" Type="http://schemas.openxmlformats.org/officeDocument/2006/relationships/customXml" Target="../customXml/item2.xml"/><Relationship Id="rId16" Type="http://schemas.openxmlformats.org/officeDocument/2006/relationships/hyperlink" Target="https://grants.nih.gov/grants/guide/notice-files/NOT-OD-23-149.html" TargetMode="External"/><Relationship Id="rId20" Type="http://schemas.openxmlformats.org/officeDocument/2006/relationships/hyperlink" Target="http://www.cihr-irsc.gc.ca/lms/f/dra_awards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ihr-irsc.gc.ca/f/53583.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ihr-irsc.gc.ca/f/5055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hr-irsc.gc.ca/f/53938.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B187A935-20AB-4FED-B446-F400A530B416}">
  <ds:schemaRefs>
    <ds:schemaRef ds:uri="http://purl.org/dc/dcmitype/"/>
    <ds:schemaRef ds:uri="http://www.w3.org/XML/1998/namespace"/>
    <ds:schemaRef ds:uri="http://schemas.microsoft.com/office/2006/documentManagement/types"/>
    <ds:schemaRef ds:uri="17ca9d0f-d15a-4459-bdd6-d4e3f46a8772"/>
    <ds:schemaRef ds:uri="http://purl.org/dc/terms/"/>
    <ds:schemaRef ds:uri="241f02ea-e2f7-4e11-ac4b-db1b8bdcd25a"/>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200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Mise à jour du Programme de bourses de recherche</vt:lpstr>
    </vt:vector>
  </TitlesOfParts>
  <Company>Canadian Institutes of Health Research</Company>
  <LinksUpToDate>false</LinksUpToDate>
  <CharactersWithSpaces>4686</CharactersWithSpaces>
  <SharedDoc>false</SharedDoc>
  <HLinks>
    <vt:vector size="60" baseType="variant">
      <vt:variant>
        <vt:i4>524359</vt:i4>
      </vt:variant>
      <vt:variant>
        <vt:i4>27</vt:i4>
      </vt:variant>
      <vt:variant>
        <vt:i4>0</vt:i4>
      </vt:variant>
      <vt:variant>
        <vt:i4>5</vt:i4>
      </vt:variant>
      <vt:variant>
        <vt:lpwstr>https://cihr-irsc.gc.ca/lms/f/cor/projet-02-processus-devaluation-par-les-pairs/</vt:lpwstr>
      </vt:variant>
      <vt:variant>
        <vt:lpwstr/>
      </vt:variant>
      <vt:variant>
        <vt:i4>851973</vt:i4>
      </vt:variant>
      <vt:variant>
        <vt:i4>24</vt:i4>
      </vt:variant>
      <vt:variant>
        <vt:i4>0</vt:i4>
      </vt:variant>
      <vt:variant>
        <vt:i4>5</vt:i4>
      </vt:variant>
      <vt:variant>
        <vt:lpwstr>https://cihr-irsc.gc.ca/f/50559.html</vt:lpwstr>
      </vt:variant>
      <vt:variant>
        <vt:lpwstr/>
      </vt:variant>
      <vt:variant>
        <vt:i4>4390983</vt:i4>
      </vt:variant>
      <vt:variant>
        <vt:i4>21</vt:i4>
      </vt:variant>
      <vt:variant>
        <vt:i4>0</vt:i4>
      </vt:variant>
      <vt:variant>
        <vt:i4>5</vt:i4>
      </vt:variant>
      <vt:variant>
        <vt:lpwstr>https://ca1se.voxco.com/SE/?st=10PfBH%2FDtvEcxol14HJ5LxgWmvQxASesd4xLujB%2BaBA%3D</vt:lpwstr>
      </vt:variant>
      <vt:variant>
        <vt:lpwstr/>
      </vt:variant>
      <vt:variant>
        <vt:i4>9</vt:i4>
      </vt:variant>
      <vt:variant>
        <vt:i4>18</vt:i4>
      </vt:variant>
      <vt:variant>
        <vt:i4>0</vt:i4>
      </vt:variant>
      <vt:variant>
        <vt:i4>5</vt:i4>
      </vt:variant>
      <vt:variant>
        <vt:lpwstr>https://cihr-irsc.gc.ca/f/50787.html</vt:lpwstr>
      </vt:variant>
      <vt:variant>
        <vt:lpwstr/>
      </vt:variant>
      <vt:variant>
        <vt:i4>3080319</vt:i4>
      </vt:variant>
      <vt:variant>
        <vt:i4>15</vt:i4>
      </vt:variant>
      <vt:variant>
        <vt:i4>0</vt:i4>
      </vt:variant>
      <vt:variant>
        <vt:i4>5</vt:i4>
      </vt:variant>
      <vt:variant>
        <vt:lpwstr>https://rcr.ethics.gc.ca/fra/framework-cadre-2021.html</vt:lpwstr>
      </vt:variant>
      <vt:variant>
        <vt:lpwstr/>
      </vt:variant>
      <vt:variant>
        <vt:i4>7733311</vt:i4>
      </vt:variant>
      <vt:variant>
        <vt:i4>12</vt:i4>
      </vt:variant>
      <vt:variant>
        <vt:i4>0</vt:i4>
      </vt:variant>
      <vt:variant>
        <vt:i4>5</vt:i4>
      </vt:variant>
      <vt:variant>
        <vt:lpwstr>https://grants.nih.gov/grants/guide/notice-files/NOT-OD-23-149.html</vt:lpwstr>
      </vt:variant>
      <vt:variant>
        <vt:lpwstr/>
      </vt:variant>
      <vt:variant>
        <vt:i4>3145836</vt:i4>
      </vt:variant>
      <vt:variant>
        <vt:i4>9</vt:i4>
      </vt:variant>
      <vt:variant>
        <vt:i4>0</vt:i4>
      </vt:variant>
      <vt:variant>
        <vt:i4>5</vt:i4>
      </vt:variant>
      <vt:variant>
        <vt:lpwstr>https://cihr-irsc.gc.ca/f/49560.html</vt:lpwstr>
      </vt:variant>
      <vt:variant>
        <vt:lpwstr>a7</vt:lpwstr>
      </vt:variant>
      <vt:variant>
        <vt:i4>65549</vt:i4>
      </vt:variant>
      <vt:variant>
        <vt:i4>6</vt:i4>
      </vt:variant>
      <vt:variant>
        <vt:i4>0</vt:i4>
      </vt:variant>
      <vt:variant>
        <vt:i4>5</vt:i4>
      </vt:variant>
      <vt:variant>
        <vt:lpwstr>https://cihr-irsc.gc.ca/f/29300.html</vt:lpwstr>
      </vt:variant>
      <vt:variant>
        <vt:lpwstr/>
      </vt:variant>
      <vt:variant>
        <vt:i4>3604583</vt:i4>
      </vt:variant>
      <vt:variant>
        <vt:i4>3</vt:i4>
      </vt:variant>
      <vt:variant>
        <vt:i4>0</vt:i4>
      </vt:variant>
      <vt:variant>
        <vt:i4>5</vt:i4>
      </vt:variant>
      <vt:variant>
        <vt:lpwstr>https://cihr-irsc.gc.ca/f/49806.html</vt:lpwstr>
      </vt:variant>
      <vt:variant>
        <vt:lpwstr>a6</vt:lpwstr>
      </vt:variant>
      <vt:variant>
        <vt:i4>720910</vt:i4>
      </vt:variant>
      <vt:variant>
        <vt:i4>0</vt:i4>
      </vt:variant>
      <vt:variant>
        <vt:i4>0</vt:i4>
      </vt:variant>
      <vt:variant>
        <vt:i4>5</vt:i4>
      </vt:variant>
      <vt:variant>
        <vt:lpwstr>https://cihr-irsc.gc.ca/f/53700.html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à jour des programmes de bourses de recherche au doctorat</dc:title>
  <dc:subject/>
  <dc:creator>Matthew.Palmer@cihr-irsc.gc.ca</dc:creator>
  <cp:keywords/>
  <dc:description/>
  <cp:lastModifiedBy>Fernandes, Alexander (CIHR/IRSC)</cp:lastModifiedBy>
  <cp:revision>164</cp:revision>
  <cp:lastPrinted>2024-03-18T17:55:00Z</cp:lastPrinted>
  <dcterms:created xsi:type="dcterms:W3CDTF">2023-10-21T00:23:00Z</dcterms:created>
  <dcterms:modified xsi:type="dcterms:W3CDTF">2024-09-10T17:38:00Z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